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6BA" w:rsidRPr="002D513C" w:rsidRDefault="004559AA">
      <w:pPr>
        <w:spacing w:line="216" w:lineRule="auto"/>
        <w:rPr>
          <w:rFonts w:ascii="Arial" w:hAnsi="Arial"/>
        </w:rPr>
      </w:pPr>
      <w:r>
        <w:rPr>
          <w:rFonts w:ascii="Arial" w:hAnsi="Arial"/>
          <w:noProof/>
        </w:rPr>
        <w:drawing>
          <wp:inline distT="0" distB="0" distL="0" distR="0">
            <wp:extent cx="2286000" cy="428625"/>
            <wp:effectExtent l="0" t="0" r="0" b="9525"/>
            <wp:docPr id="1" name="Picture 1"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 Norris  Stevens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428625"/>
                    </a:xfrm>
                    <a:prstGeom prst="rect">
                      <a:avLst/>
                    </a:prstGeom>
                    <a:noFill/>
                    <a:ln>
                      <a:noFill/>
                    </a:ln>
                  </pic:spPr>
                </pic:pic>
              </a:graphicData>
            </a:graphic>
          </wp:inline>
        </w:drawing>
      </w:r>
      <w:r w:rsidR="00CC36BA">
        <w:rPr>
          <w:rFonts w:ascii="Arial" w:hAnsi="Arial"/>
        </w:rPr>
        <w:br/>
        <w:t xml:space="preserve">        </w:t>
      </w:r>
    </w:p>
    <w:p w:rsidR="002D513C" w:rsidRDefault="004559AA" w:rsidP="00952BB4">
      <w:pPr>
        <w:widowControl w:val="0"/>
        <w:tabs>
          <w:tab w:val="right" w:pos="10080"/>
        </w:tabs>
        <w:spacing w:before="160" w:line="374" w:lineRule="exact"/>
        <w:rPr>
          <w:sz w:val="14"/>
        </w:rPr>
      </w:pP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43179</wp:posOffset>
                </wp:positionV>
                <wp:extent cx="6405245" cy="0"/>
                <wp:effectExtent l="0" t="0" r="146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7A52D" id="Straight Connector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4pt" to="50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ZnCHQIAADY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"/>
            </w:pict>
          </mc:Fallback>
        </mc:AlternateContent>
      </w:r>
      <w:r w:rsidR="002D513C">
        <w:rPr>
          <w:b/>
          <w:sz w:val="16"/>
        </w:rPr>
        <w:t>Commercial</w:t>
      </w:r>
      <w:r w:rsidR="002D513C">
        <w:rPr>
          <w:sz w:val="16"/>
        </w:rPr>
        <w:t xml:space="preserve"> - </w:t>
      </w:r>
      <w:r w:rsidR="002D513C">
        <w:rPr>
          <w:b/>
          <w:sz w:val="16"/>
        </w:rPr>
        <w:t>Multi-Family</w:t>
      </w:r>
      <w:r w:rsidR="002D513C">
        <w:tab/>
      </w:r>
      <w:r w:rsidR="002D513C">
        <w:rPr>
          <w:b/>
          <w:sz w:val="24"/>
        </w:rPr>
        <w:t>Commission Schedule – 20</w:t>
      </w:r>
      <w:r w:rsidR="00F27D60">
        <w:rPr>
          <w:b/>
          <w:sz w:val="24"/>
        </w:rPr>
        <w:t>2</w:t>
      </w:r>
      <w:r w:rsidR="003E3DD9">
        <w:rPr>
          <w:b/>
          <w:sz w:val="24"/>
        </w:rPr>
        <w:t>1</w:t>
      </w:r>
      <w:bookmarkStart w:id="0" w:name="_GoBack"/>
      <w:bookmarkEnd w:id="0"/>
    </w:p>
    <w:p w:rsidR="002D513C" w:rsidRDefault="004559AA" w:rsidP="002D513C">
      <w:pPr>
        <w:pStyle w:val="Header"/>
        <w:widowControl w:val="0"/>
        <w:tabs>
          <w:tab w:val="clear" w:pos="4320"/>
          <w:tab w:val="clear" w:pos="8640"/>
          <w:tab w:val="left" w:pos="-720"/>
          <w:tab w:val="left" w:pos="0"/>
          <w:tab w:val="left" w:pos="598"/>
          <w:tab w:val="left" w:pos="3542"/>
          <w:tab w:val="left" w:pos="4277"/>
        </w:tabs>
        <w:spacing w:line="-374" w:lineRule="auto"/>
        <w:rPr>
          <w:noProof/>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77469</wp:posOffset>
                </wp:positionV>
                <wp:extent cx="6405245" cy="0"/>
                <wp:effectExtent l="0" t="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EA54B"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1pt" to="50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FRDHQ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"/>
            </w:pict>
          </mc:Fallback>
        </mc:AlternateContent>
      </w:r>
    </w:p>
    <w:p w:rsidR="00CC36BA" w:rsidRPr="00997306" w:rsidRDefault="00F76C6E" w:rsidP="00997306">
      <w:pPr>
        <w:pStyle w:val="Heading2"/>
        <w:rPr>
          <w:sz w:val="22"/>
          <w:szCs w:val="22"/>
          <w:u w:val="single"/>
        </w:rPr>
      </w:pPr>
      <w:r w:rsidRPr="00997306">
        <w:rPr>
          <w:sz w:val="22"/>
          <w:szCs w:val="22"/>
          <w:u w:val="single"/>
        </w:rPr>
        <w:t>SALES</w:t>
      </w:r>
    </w:p>
    <w:p w:rsidR="00CC36BA" w:rsidRDefault="00CC36BA">
      <w:pPr>
        <w:widowControl w:val="0"/>
        <w:tabs>
          <w:tab w:val="left" w:pos="-720"/>
          <w:tab w:val="left" w:pos="0"/>
          <w:tab w:val="left" w:pos="598"/>
          <w:tab w:val="left" w:pos="3060"/>
          <w:tab w:val="left" w:pos="3258"/>
          <w:tab w:val="left" w:pos="3780"/>
        </w:tabs>
        <w:spacing w:line="228" w:lineRule="auto"/>
        <w:rPr>
          <w:b/>
          <w:w w:val="99"/>
          <w:sz w:val="22"/>
        </w:rPr>
      </w:pP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Improved Properties</w:t>
      </w:r>
      <w:r w:rsidR="002D513C">
        <w:rPr>
          <w:b/>
          <w:w w:val="99"/>
          <w:sz w:val="22"/>
        </w:rPr>
        <w:t xml:space="preserve"> or Business</w:t>
      </w:r>
      <w:r w:rsidR="002D513C">
        <w:rPr>
          <w:b/>
          <w:w w:val="99"/>
          <w:sz w:val="22"/>
        </w:rPr>
        <w:tab/>
      </w:r>
      <w:r>
        <w:rPr>
          <w:b/>
          <w:w w:val="99"/>
          <w:sz w:val="22"/>
        </w:rPr>
        <w:tab/>
        <w:t>-</w:t>
      </w:r>
      <w:r>
        <w:rPr>
          <w:b/>
          <w:w w:val="99"/>
          <w:sz w:val="22"/>
        </w:rPr>
        <w:tab/>
      </w:r>
      <w:r>
        <w:rPr>
          <w:b/>
          <w:w w:val="99"/>
          <w:sz w:val="22"/>
        </w:rPr>
        <w:tab/>
      </w:r>
      <w:r>
        <w:rPr>
          <w:w w:val="99"/>
          <w:sz w:val="22"/>
        </w:rPr>
        <w:t>6% of the first $500,000 of the sales price; and</w:t>
      </w:r>
    </w:p>
    <w:p w:rsidR="00CC36BA" w:rsidRDefault="002D513C">
      <w:pPr>
        <w:widowControl w:val="0"/>
        <w:tabs>
          <w:tab w:val="left" w:pos="-720"/>
          <w:tab w:val="left" w:pos="0"/>
          <w:tab w:val="left" w:pos="598"/>
          <w:tab w:val="left" w:pos="3060"/>
          <w:tab w:val="left" w:pos="3258"/>
          <w:tab w:val="left" w:pos="3780"/>
        </w:tabs>
        <w:spacing w:line="228" w:lineRule="auto"/>
        <w:rPr>
          <w:w w:val="99"/>
          <w:sz w:val="22"/>
        </w:rPr>
      </w:pPr>
      <w:r>
        <w:rPr>
          <w:b/>
          <w:bCs/>
          <w:w w:val="99"/>
          <w:sz w:val="22"/>
        </w:rPr>
        <w:tab/>
      </w:r>
      <w:r w:rsidR="00CC36BA">
        <w:rPr>
          <w:w w:val="99"/>
          <w:sz w:val="22"/>
        </w:rPr>
        <w:tab/>
      </w:r>
      <w:r w:rsidR="00CC36BA">
        <w:rPr>
          <w:w w:val="99"/>
          <w:sz w:val="22"/>
        </w:rPr>
        <w:tab/>
      </w:r>
      <w:r w:rsidR="00CC36BA">
        <w:rPr>
          <w:w w:val="99"/>
          <w:sz w:val="22"/>
        </w:rPr>
        <w:tab/>
      </w:r>
      <w:r>
        <w:rPr>
          <w:w w:val="99"/>
          <w:sz w:val="22"/>
        </w:rPr>
        <w:tab/>
      </w:r>
      <w:r w:rsidR="00CC36BA">
        <w:rPr>
          <w:w w:val="99"/>
          <w:sz w:val="22"/>
        </w:rPr>
        <w:t>5% of the sales price over $500,000</w:t>
      </w:r>
    </w:p>
    <w:p w:rsidR="00CC36BA" w:rsidRDefault="00CC36BA">
      <w:pPr>
        <w:pStyle w:val="BalloonText"/>
        <w:widowControl w:val="0"/>
        <w:tabs>
          <w:tab w:val="left" w:pos="-720"/>
          <w:tab w:val="left" w:pos="0"/>
          <w:tab w:val="left" w:pos="598"/>
          <w:tab w:val="left" w:pos="3060"/>
          <w:tab w:val="left" w:pos="3258"/>
          <w:tab w:val="left" w:pos="3780"/>
        </w:tabs>
        <w:spacing w:line="228" w:lineRule="auto"/>
        <w:rPr>
          <w:rFonts w:ascii="Times New Roman" w:hAnsi="Times New Roman" w:cs="Times New Roman"/>
          <w:w w:val="99"/>
          <w:szCs w:val="20"/>
        </w:rPr>
      </w:pP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Unimproved Land</w:t>
      </w:r>
      <w:r>
        <w:rPr>
          <w:b/>
          <w:w w:val="99"/>
          <w:sz w:val="22"/>
        </w:rPr>
        <w:tab/>
      </w:r>
      <w:r w:rsidR="002D513C">
        <w:rPr>
          <w:b/>
          <w:w w:val="99"/>
          <w:sz w:val="22"/>
        </w:rPr>
        <w:tab/>
      </w:r>
      <w:r>
        <w:rPr>
          <w:b/>
          <w:w w:val="99"/>
          <w:sz w:val="22"/>
        </w:rPr>
        <w:t>-</w:t>
      </w:r>
      <w:r>
        <w:rPr>
          <w:b/>
          <w:w w:val="99"/>
          <w:sz w:val="22"/>
        </w:rPr>
        <w:tab/>
      </w:r>
      <w:r>
        <w:rPr>
          <w:b/>
          <w:w w:val="99"/>
          <w:sz w:val="22"/>
        </w:rPr>
        <w:tab/>
      </w:r>
      <w:r>
        <w:rPr>
          <w:w w:val="99"/>
          <w:sz w:val="22"/>
        </w:rPr>
        <w:t>10% of the first $300,000 of the sales price;</w:t>
      </w: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8% of the sales price from $300,000 to $1,000,000; and</w:t>
      </w:r>
    </w:p>
    <w:p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5% thereafter</w:t>
      </w:r>
    </w:p>
    <w:p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16"/>
        </w:rPr>
      </w:pPr>
    </w:p>
    <w:p w:rsidR="00CC36BA" w:rsidRDefault="00CC36BA" w:rsidP="002D513C">
      <w:pPr>
        <w:widowControl w:val="0"/>
        <w:tabs>
          <w:tab w:val="left" w:pos="-720"/>
          <w:tab w:val="left" w:pos="0"/>
          <w:tab w:val="left" w:pos="598"/>
          <w:tab w:val="left" w:pos="3060"/>
          <w:tab w:val="left" w:pos="3258"/>
          <w:tab w:val="left" w:pos="4320"/>
        </w:tabs>
        <w:spacing w:line="228" w:lineRule="auto"/>
        <w:ind w:left="4320" w:hanging="4320"/>
        <w:rPr>
          <w:w w:val="99"/>
          <w:sz w:val="22"/>
        </w:rPr>
      </w:pPr>
      <w:r>
        <w:rPr>
          <w:b/>
          <w:w w:val="99"/>
          <w:sz w:val="22"/>
        </w:rPr>
        <w:t>Exchanges</w:t>
      </w:r>
      <w:r>
        <w:rPr>
          <w:b/>
          <w:w w:val="99"/>
          <w:sz w:val="22"/>
        </w:rPr>
        <w:tab/>
      </w:r>
      <w:r w:rsidR="002D513C">
        <w:rPr>
          <w:b/>
          <w:w w:val="99"/>
          <w:sz w:val="22"/>
        </w:rPr>
        <w:tab/>
      </w:r>
      <w:r>
        <w:rPr>
          <w:b/>
          <w:w w:val="99"/>
          <w:sz w:val="22"/>
        </w:rPr>
        <w:t>-</w:t>
      </w:r>
      <w:r w:rsidR="002D513C">
        <w:rPr>
          <w:w w:val="99"/>
          <w:sz w:val="22"/>
        </w:rPr>
        <w:tab/>
      </w:r>
      <w:r>
        <w:rPr>
          <w:w w:val="99"/>
          <w:sz w:val="22"/>
        </w:rPr>
        <w:t>Fees for exchanges to be computed as sales of improved properties, above.</w:t>
      </w:r>
    </w:p>
    <w:p w:rsidR="00997306" w:rsidRDefault="00997306" w:rsidP="00F76C6E">
      <w:pPr>
        <w:widowControl w:val="0"/>
        <w:tabs>
          <w:tab w:val="left" w:pos="-720"/>
          <w:tab w:val="left" w:pos="0"/>
          <w:tab w:val="left" w:pos="598"/>
          <w:tab w:val="left" w:pos="3060"/>
          <w:tab w:val="left" w:pos="3258"/>
          <w:tab w:val="left" w:pos="3780"/>
        </w:tabs>
        <w:spacing w:line="228" w:lineRule="auto"/>
        <w:ind w:left="3780" w:hanging="3780"/>
        <w:rPr>
          <w:w w:val="99"/>
          <w:sz w:val="22"/>
        </w:rPr>
      </w:pPr>
    </w:p>
    <w:p w:rsidR="00997306" w:rsidRPr="00997306" w:rsidRDefault="00997306" w:rsidP="00997306">
      <w:pPr>
        <w:pStyle w:val="Heading2"/>
        <w:rPr>
          <w:sz w:val="22"/>
          <w:szCs w:val="22"/>
          <w:u w:val="single"/>
        </w:rPr>
      </w:pPr>
      <w:r>
        <w:rPr>
          <w:sz w:val="22"/>
          <w:szCs w:val="22"/>
          <w:u w:val="single"/>
        </w:rPr>
        <w:t>LEASES</w:t>
      </w:r>
    </w:p>
    <w:p w:rsidR="00997306" w:rsidRDefault="00997306" w:rsidP="00F76C6E">
      <w:pPr>
        <w:widowControl w:val="0"/>
        <w:tabs>
          <w:tab w:val="left" w:pos="-720"/>
          <w:tab w:val="left" w:pos="-90"/>
          <w:tab w:val="left" w:pos="0"/>
          <w:tab w:val="left" w:pos="3258"/>
          <w:tab w:val="left" w:pos="4068"/>
        </w:tabs>
        <w:spacing w:line="228" w:lineRule="auto"/>
        <w:jc w:val="both"/>
        <w:rPr>
          <w:sz w:val="22"/>
        </w:rPr>
      </w:pPr>
    </w:p>
    <w:p w:rsidR="00CC36BA" w:rsidRDefault="00CC36BA" w:rsidP="00F76C6E">
      <w:pPr>
        <w:widowControl w:val="0"/>
        <w:tabs>
          <w:tab w:val="left" w:pos="-720"/>
          <w:tab w:val="left" w:pos="-90"/>
          <w:tab w:val="left" w:pos="0"/>
          <w:tab w:val="left" w:pos="3258"/>
          <w:tab w:val="left" w:pos="4068"/>
        </w:tabs>
        <w:spacing w:line="228" w:lineRule="auto"/>
        <w:jc w:val="both"/>
        <w:rPr>
          <w:sz w:val="22"/>
        </w:rPr>
      </w:pPr>
      <w:r>
        <w:rPr>
          <w:sz w:val="22"/>
        </w:rPr>
        <w:t>Upon the execution by both parties of a lease, Norris &amp; Stevens, Inc. shall be due a fee of 5% of the total gross aggregate rental for the first five-year term of the lease and 2-1/2% rental for the term past five years for gross leases. Fees for net leases are 6% of the total gross aggregate rental for the first five-year lease term and 3% rental for the term past five years. Said fees are payable half at execution and half at occupancy by tenant. A minimum fee of one month’s rent will be charged for any new lease of one year or more or as the parties agree for a shorter term. The first five years lease term is defined as the “first sixty months of rental payment”. For example, if the first three months were “rent abated” then our fee would be computed on the following sixty months at 5% / 6% plus additional term. Lease renewal fees are calculated at one-half (1/2) of the fee schedule detailed above.</w:t>
      </w:r>
    </w:p>
    <w:p w:rsidR="00CC36BA" w:rsidRDefault="00CC36BA">
      <w:pPr>
        <w:widowControl w:val="0"/>
        <w:tabs>
          <w:tab w:val="left" w:pos="-720"/>
          <w:tab w:val="left" w:pos="0"/>
          <w:tab w:val="left" w:pos="598"/>
          <w:tab w:val="left" w:pos="3258"/>
          <w:tab w:val="left" w:pos="4068"/>
        </w:tabs>
        <w:spacing w:line="228" w:lineRule="auto"/>
        <w:rPr>
          <w:sz w:val="22"/>
        </w:rPr>
      </w:pPr>
    </w:p>
    <w:p w:rsidR="00CC36BA" w:rsidRDefault="00CC36BA" w:rsidP="00F76C6E">
      <w:pPr>
        <w:widowControl w:val="0"/>
        <w:tabs>
          <w:tab w:val="left" w:pos="-720"/>
          <w:tab w:val="left" w:pos="0"/>
          <w:tab w:val="left" w:pos="3258"/>
          <w:tab w:val="left" w:pos="4068"/>
        </w:tabs>
        <w:spacing w:line="228" w:lineRule="auto"/>
        <w:jc w:val="both"/>
        <w:rPr>
          <w:sz w:val="22"/>
        </w:rPr>
      </w:pPr>
      <w:r>
        <w:rPr>
          <w:sz w:val="22"/>
        </w:rPr>
        <w:t>When a building is erected to suit a tenant, Norris &amp; Stevens, Inc. shall be due a fee of 7% for the first five-year lease term and 3-1/2% thereafter.</w:t>
      </w:r>
    </w:p>
    <w:p w:rsidR="00CC36BA" w:rsidRDefault="00CC36BA">
      <w:pPr>
        <w:widowControl w:val="0"/>
        <w:tabs>
          <w:tab w:val="left" w:pos="-720"/>
          <w:tab w:val="left" w:pos="0"/>
          <w:tab w:val="left" w:pos="598"/>
          <w:tab w:val="left" w:pos="3258"/>
          <w:tab w:val="left" w:pos="4068"/>
        </w:tabs>
        <w:spacing w:line="228" w:lineRule="auto"/>
        <w:rPr>
          <w:sz w:val="22"/>
        </w:rPr>
      </w:pPr>
    </w:p>
    <w:p w:rsidR="00CC36BA" w:rsidRDefault="00CC36BA" w:rsidP="00F76C6E">
      <w:pPr>
        <w:widowControl w:val="0"/>
        <w:tabs>
          <w:tab w:val="left" w:pos="-720"/>
          <w:tab w:val="left" w:pos="0"/>
          <w:tab w:val="left" w:pos="3258"/>
          <w:tab w:val="left" w:pos="4068"/>
        </w:tabs>
        <w:spacing w:line="228" w:lineRule="auto"/>
        <w:jc w:val="both"/>
        <w:rPr>
          <w:sz w:val="22"/>
        </w:rPr>
      </w:pPr>
      <w:r>
        <w:rPr>
          <w:sz w:val="22"/>
        </w:rPr>
        <w:t>Fees for ground leases beyond 49 years shall be computed on the basis of a sale; capitalizing the average net income over the term at 10% to determine the sales value. For ground leases with a term of 49 years or less, the fee shall be calculated as a lease at 6% of the gross lease rental for the first five-year term plus 3% thereafter; however, not more than would be paid for the sale calculation above.</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18"/>
        </w:rPr>
      </w:pPr>
      <w:r>
        <w:rPr>
          <w:sz w:val="22"/>
          <w:u w:val="single"/>
        </w:rPr>
        <w:t>PURCHASE OPTIONS</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If the lease gives the lessee the option or first right of refusal to purchase the property and such option is exercised, Norris &amp; Stevens, Inc. shall be due a fee per the above sales schedule. There shall be a prorated credit toward this fee of the unearned portion of any lease commission previously paid by the Lessor/Seller on this lease.</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22"/>
          <w:u w:val="single"/>
        </w:rPr>
      </w:pPr>
      <w:r>
        <w:rPr>
          <w:sz w:val="22"/>
          <w:u w:val="single"/>
        </w:rPr>
        <w:t>LEASE EXPANSIONS</w:t>
      </w:r>
    </w:p>
    <w:p w:rsidR="00CC36BA" w:rsidRDefault="00CC36BA">
      <w:pPr>
        <w:widowControl w:val="0"/>
        <w:tabs>
          <w:tab w:val="left" w:pos="-720"/>
          <w:tab w:val="left" w:pos="0"/>
          <w:tab w:val="left" w:pos="598"/>
          <w:tab w:val="left" w:pos="3258"/>
          <w:tab w:val="left" w:pos="4068"/>
        </w:tabs>
        <w:spacing w:line="228" w:lineRule="auto"/>
        <w:rPr>
          <w:w w:val="99"/>
          <w:sz w:val="14"/>
        </w:rPr>
      </w:pPr>
    </w:p>
    <w:p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When the originally negotiated lease provides for expansion, Norris &amp; Stevens, Inc. shall be due the full normal lease fee, as described above, computed on the remaining term.</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i/>
          <w:sz w:val="22"/>
          <w:u w:val="single"/>
        </w:rPr>
      </w:pPr>
      <w:r>
        <w:rPr>
          <w:i/>
          <w:sz w:val="22"/>
          <w:u w:val="single"/>
        </w:rPr>
        <w:t>NOTE</w:t>
      </w:r>
    </w:p>
    <w:p w:rsidR="00CC36BA" w:rsidRDefault="00CC36BA">
      <w:pPr>
        <w:widowControl w:val="0"/>
        <w:tabs>
          <w:tab w:val="left" w:pos="-720"/>
          <w:tab w:val="left" w:pos="0"/>
          <w:tab w:val="left" w:pos="598"/>
          <w:tab w:val="left" w:pos="3258"/>
          <w:tab w:val="left" w:pos="4068"/>
        </w:tabs>
        <w:spacing w:line="228" w:lineRule="auto"/>
        <w:rPr>
          <w:i/>
          <w:w w:val="99"/>
          <w:sz w:val="14"/>
        </w:rPr>
      </w:pPr>
    </w:p>
    <w:p w:rsidR="00CC36BA" w:rsidRDefault="00CC36BA" w:rsidP="00F76C6E">
      <w:pPr>
        <w:pStyle w:val="BodyText3"/>
        <w:tabs>
          <w:tab w:val="clear" w:pos="598"/>
        </w:tabs>
        <w:jc w:val="both"/>
      </w:pPr>
      <w:r>
        <w:t>All lease fees are due and payable one-half (1/2) at the time a lease is executed and one-half (1/2) at occupancy by the tenant.  In the event of a sale or a trade, the fees shall be due in full at closing.  Any change in this fee schedule must be approved in writing by an officer of Norris &amp; Stevens, Inc. and the client.</w:t>
      </w:r>
    </w:p>
    <w:sectPr w:rsidR="00CC36BA" w:rsidSect="00B3460C">
      <w:headerReference w:type="default" r:id="rId8"/>
      <w:pgSz w:w="12240" w:h="15840" w:code="1"/>
      <w:pgMar w:top="1008" w:right="1080" w:bottom="1008" w:left="1080" w:header="0" w:footer="804" w:gutter="0"/>
      <w:paperSrc w:first="1" w:other="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DBF" w:rsidRDefault="00323DBF">
      <w:r>
        <w:separator/>
      </w:r>
    </w:p>
  </w:endnote>
  <w:endnote w:type="continuationSeparator" w:id="0">
    <w:p w:rsidR="00323DBF" w:rsidRDefault="00323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DBF" w:rsidRDefault="00323DBF">
      <w:r>
        <w:separator/>
      </w:r>
    </w:p>
  </w:footnote>
  <w:footnote w:type="continuationSeparator" w:id="0">
    <w:p w:rsidR="00323DBF" w:rsidRDefault="00323D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6BA" w:rsidRDefault="00CC36BA">
    <w:pPr>
      <w:tabs>
        <w:tab w:val="right" w:pos="9360"/>
      </w:tabs>
    </w:pPr>
  </w:p>
  <w:p w:rsidR="00CC36BA" w:rsidRDefault="00CC36B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5A05C8"/>
    <w:multiLevelType w:val="hybridMultilevel"/>
    <w:tmpl w:val="D4CAC7EC"/>
    <w:lvl w:ilvl="0" w:tplc="04090001">
      <w:start w:val="1"/>
      <w:numFmt w:val="bullet"/>
      <w:lvlText w:val=""/>
      <w:lvlJc w:val="left"/>
      <w:pPr>
        <w:tabs>
          <w:tab w:val="num" w:pos="720"/>
        </w:tabs>
        <w:ind w:left="720" w:hanging="360"/>
      </w:pPr>
      <w:rPr>
        <w:rFonts w:ascii="Symbol" w:hAnsi="Symbol" w:hint="default"/>
      </w:rPr>
    </w:lvl>
    <w:lvl w:ilvl="1" w:tplc="63EA8644">
      <w:numFmt w:val="bullet"/>
      <w:lvlText w:val=""/>
      <w:lvlJc w:val="left"/>
      <w:pPr>
        <w:tabs>
          <w:tab w:val="num" w:pos="1680"/>
        </w:tabs>
        <w:ind w:left="1680" w:hanging="600"/>
      </w:pPr>
      <w:rPr>
        <w:rFonts w:ascii="WP MathA" w:eastAsia="Times New Roman" w:hAnsi="WP MathA" w:cs="Times New Roman" w:hint="default"/>
        <w:sz w:val="17"/>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6CAE2839"/>
    <w:multiLevelType w:val="hybridMultilevel"/>
    <w:tmpl w:val="75D87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75"/>
  <w:drawingGridVerticalSpacing w:val="102"/>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6D3"/>
    <w:rsid w:val="0007669F"/>
    <w:rsid w:val="000D1D90"/>
    <w:rsid w:val="00113C70"/>
    <w:rsid w:val="00157A28"/>
    <w:rsid w:val="001B552B"/>
    <w:rsid w:val="00261BF6"/>
    <w:rsid w:val="0026325C"/>
    <w:rsid w:val="00294E87"/>
    <w:rsid w:val="002D513C"/>
    <w:rsid w:val="002D6CA9"/>
    <w:rsid w:val="002E508B"/>
    <w:rsid w:val="002E5280"/>
    <w:rsid w:val="00305C74"/>
    <w:rsid w:val="00323DBF"/>
    <w:rsid w:val="003956D3"/>
    <w:rsid w:val="003C458C"/>
    <w:rsid w:val="003E3DD9"/>
    <w:rsid w:val="00404618"/>
    <w:rsid w:val="00423034"/>
    <w:rsid w:val="004559AA"/>
    <w:rsid w:val="00490CB9"/>
    <w:rsid w:val="004B3859"/>
    <w:rsid w:val="004C6F41"/>
    <w:rsid w:val="004F00B2"/>
    <w:rsid w:val="005272A8"/>
    <w:rsid w:val="0055413F"/>
    <w:rsid w:val="005B578E"/>
    <w:rsid w:val="005C3644"/>
    <w:rsid w:val="00740C79"/>
    <w:rsid w:val="008520F0"/>
    <w:rsid w:val="00952BB4"/>
    <w:rsid w:val="00987F2B"/>
    <w:rsid w:val="00997306"/>
    <w:rsid w:val="00A44A7B"/>
    <w:rsid w:val="00AD2EA5"/>
    <w:rsid w:val="00B3460C"/>
    <w:rsid w:val="00C62AAB"/>
    <w:rsid w:val="00C6742A"/>
    <w:rsid w:val="00CC36BA"/>
    <w:rsid w:val="00D926BB"/>
    <w:rsid w:val="00E27072"/>
    <w:rsid w:val="00E413FC"/>
    <w:rsid w:val="00ED5D72"/>
    <w:rsid w:val="00EE2907"/>
    <w:rsid w:val="00F22FA3"/>
    <w:rsid w:val="00F27D60"/>
    <w:rsid w:val="00F40557"/>
    <w:rsid w:val="00F76C6E"/>
    <w:rsid w:val="00FD5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82F063C-06E6-4922-BB54-382CEDB6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bCs/>
      <w:smallCaps/>
      <w:sz w:val="28"/>
    </w:rPr>
  </w:style>
  <w:style w:type="paragraph" w:styleId="Heading3">
    <w:name w:val="heading 3"/>
    <w:basedOn w:val="Normal"/>
    <w:next w:val="Normal"/>
    <w:qFormat/>
    <w:pPr>
      <w:keepNext/>
      <w:outlineLvl w:val="2"/>
    </w:pPr>
    <w:rPr>
      <w:smallCaps/>
      <w:sz w:val="24"/>
      <w:u w:val="single"/>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center"/>
      <w:outlineLvl w:val="5"/>
    </w:pPr>
    <w:rPr>
      <w:b/>
      <w:bCs/>
      <w:smallCaps/>
      <w:sz w:val="24"/>
    </w:rPr>
  </w:style>
  <w:style w:type="paragraph" w:styleId="Heading7">
    <w:name w:val="heading 7"/>
    <w:basedOn w:val="Normal"/>
    <w:next w:val="Normal"/>
    <w:qFormat/>
    <w:pPr>
      <w:keepNext/>
      <w:widowControl w:val="0"/>
      <w:tabs>
        <w:tab w:val="left" w:pos="-720"/>
        <w:tab w:val="left" w:pos="0"/>
        <w:tab w:val="left" w:pos="3060"/>
        <w:tab w:val="left" w:pos="3780"/>
      </w:tabs>
      <w:spacing w:line="228" w:lineRule="auto"/>
      <w:ind w:left="630"/>
      <w:outlineLvl w:val="6"/>
    </w:pPr>
    <w:rPr>
      <w:b/>
      <w:smallCaps/>
      <w:w w:val="99"/>
      <w:sz w:val="26"/>
      <w:u w:val="single"/>
    </w:rPr>
  </w:style>
  <w:style w:type="paragraph" w:styleId="Heading8">
    <w:name w:val="heading 8"/>
    <w:basedOn w:val="Normal"/>
    <w:next w:val="Normal"/>
    <w:link w:val="Heading8Char"/>
    <w:uiPriority w:val="9"/>
    <w:unhideWhenUsed/>
    <w:qFormat/>
    <w:rsid w:val="00F76C6E"/>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pPr>
      <w:jc w:val="center"/>
    </w:pPr>
    <w:rPr>
      <w:i/>
      <w:iCs/>
      <w:sz w:val="24"/>
    </w:rPr>
  </w:style>
  <w:style w:type="paragraph" w:styleId="BodyText">
    <w:name w:val="Body Text"/>
    <w:basedOn w:val="Normal"/>
    <w:semiHidden/>
    <w:rPr>
      <w:i/>
      <w:iCs/>
      <w:sz w:val="24"/>
    </w:rPr>
  </w:style>
  <w:style w:type="paragraph" w:styleId="Header">
    <w:name w:val="header"/>
    <w:basedOn w:val="Normal"/>
    <w:link w:val="HeaderChar"/>
    <w:semiHidden/>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2">
    <w:name w:val="Body Text 2"/>
    <w:basedOn w:val="Normal"/>
    <w:semiHidden/>
    <w:rPr>
      <w:i/>
      <w:iCs/>
    </w:rPr>
  </w:style>
  <w:style w:type="character" w:styleId="Hyperlink">
    <w:name w:val="Hyperlink"/>
    <w:semiHidden/>
    <w:rPr>
      <w:color w:val="0000FF"/>
      <w:u w:val="single"/>
    </w:rPr>
  </w:style>
  <w:style w:type="paragraph" w:styleId="BodyTextIndent">
    <w:name w:val="Body Text Indent"/>
    <w:basedOn w:val="Normal"/>
    <w:semiHidden/>
    <w:pPr>
      <w:tabs>
        <w:tab w:val="left" w:pos="0"/>
        <w:tab w:val="left" w:pos="597"/>
        <w:tab w:val="left" w:pos="3542"/>
        <w:tab w:val="left" w:pos="4276"/>
      </w:tabs>
      <w:spacing w:line="216" w:lineRule="auto"/>
      <w:ind w:left="597"/>
      <w:jc w:val="both"/>
    </w:pPr>
    <w:rPr>
      <w:rFonts w:ascii="CG Times" w:hAnsi="CG Times"/>
      <w:sz w:val="22"/>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qFormat/>
    <w:rPr>
      <w:sz w:val="24"/>
      <w:szCs w:val="24"/>
    </w:rPr>
  </w:style>
  <w:style w:type="paragraph" w:styleId="BodyTextIndent2">
    <w:name w:val="Body Text Indent 2"/>
    <w:basedOn w:val="Normal"/>
    <w:semiHidden/>
    <w:unhideWhenUsed/>
    <w:pPr>
      <w:tabs>
        <w:tab w:val="left" w:pos="720"/>
      </w:tabs>
      <w:spacing w:before="240" w:after="120"/>
      <w:ind w:left="720" w:hanging="720"/>
      <w:outlineLvl w:val="0"/>
    </w:pPr>
    <w:rPr>
      <w:iCs/>
      <w:sz w:val="24"/>
      <w:szCs w:val="24"/>
    </w:rPr>
  </w:style>
  <w:style w:type="character" w:customStyle="1" w:styleId="BodyTextIndent2Char">
    <w:name w:val="Body Text Indent 2 Char"/>
    <w:rPr>
      <w:iCs/>
      <w:sz w:val="24"/>
      <w:szCs w:val="24"/>
    </w:rPr>
  </w:style>
  <w:style w:type="paragraph" w:styleId="BodyText3">
    <w:name w:val="Body Text 3"/>
    <w:basedOn w:val="Normal"/>
    <w:semiHidden/>
    <w:unhideWhenUsed/>
    <w:pPr>
      <w:widowControl w:val="0"/>
      <w:tabs>
        <w:tab w:val="left" w:pos="-720"/>
        <w:tab w:val="left" w:pos="0"/>
        <w:tab w:val="left" w:pos="598"/>
        <w:tab w:val="left" w:pos="3060"/>
        <w:tab w:val="left" w:pos="3258"/>
        <w:tab w:val="left" w:pos="3780"/>
      </w:tabs>
      <w:spacing w:line="228" w:lineRule="auto"/>
    </w:pPr>
    <w:rPr>
      <w:i/>
      <w:w w:val="99"/>
      <w:sz w:val="22"/>
    </w:rPr>
  </w:style>
  <w:style w:type="character" w:customStyle="1" w:styleId="BodyText3Char">
    <w:name w:val="Body Text 3 Char"/>
    <w:rPr>
      <w:i/>
      <w:w w:val="99"/>
      <w:sz w:val="22"/>
    </w:rPr>
  </w:style>
  <w:style w:type="character" w:customStyle="1" w:styleId="Heading7Char">
    <w:name w:val="Heading 7 Char"/>
    <w:rPr>
      <w:b/>
      <w:smallCaps/>
      <w:w w:val="99"/>
      <w:sz w:val="26"/>
      <w:u w:val="single"/>
    </w:rPr>
  </w:style>
  <w:style w:type="character" w:customStyle="1" w:styleId="FooterChar">
    <w:name w:val="Footer Char"/>
    <w:uiPriority w:val="99"/>
  </w:style>
  <w:style w:type="character" w:customStyle="1" w:styleId="Heading8Char">
    <w:name w:val="Heading 8 Char"/>
    <w:link w:val="Heading8"/>
    <w:uiPriority w:val="9"/>
    <w:rsid w:val="00F76C6E"/>
    <w:rPr>
      <w:rFonts w:ascii="Calibri" w:eastAsia="Times New Roman" w:hAnsi="Calibri" w:cs="Times New Roman"/>
      <w:i/>
      <w:iCs/>
      <w:sz w:val="24"/>
      <w:szCs w:val="24"/>
    </w:rPr>
  </w:style>
  <w:style w:type="table" w:styleId="TableGrid">
    <w:name w:val="Table Grid"/>
    <w:basedOn w:val="TableNormal"/>
    <w:uiPriority w:val="59"/>
    <w:rsid w:val="0099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semiHidden/>
    <w:rsid w:val="002D5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WPDATA\FORMS\MERGE\Sale%20Listing%20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Sale Listing Agreement</Template>
  <TotalTime>1</TotalTime>
  <Pages>1</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Lease Listing Agreement</vt:lpstr>
    </vt:vector>
  </TitlesOfParts>
  <Company>Norris &amp; Stevens Realtors</Company>
  <LinksUpToDate>false</LinksUpToDate>
  <CharactersWithSpaces>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Listing Agreement</dc:title>
  <dc:creator>Mary deMorest</dc:creator>
  <cp:lastModifiedBy>Mindy Gerlach</cp:lastModifiedBy>
  <cp:revision>5</cp:revision>
  <cp:lastPrinted>2017-06-01T00:11:00Z</cp:lastPrinted>
  <dcterms:created xsi:type="dcterms:W3CDTF">2019-01-30T16:21:00Z</dcterms:created>
  <dcterms:modified xsi:type="dcterms:W3CDTF">2020-12-29T19:42:00Z</dcterms:modified>
</cp:coreProperties>
</file>